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70D" w:rsidRDefault="0085070D" w:rsidP="0085070D">
      <w:pPr>
        <w:spacing w:line="480" w:lineRule="auto"/>
        <w:jc w:val="center"/>
        <w:rPr>
          <w:rFonts w:ascii="Times New Roman" w:hAnsi="Times New Roman" w:cs="Times New Roman"/>
          <w:sz w:val="24"/>
          <w:szCs w:val="24"/>
        </w:rPr>
      </w:pPr>
      <w:bookmarkStart w:id="0" w:name="_GoBack"/>
      <w:bookmarkEnd w:id="0"/>
      <w:r w:rsidRPr="00F45355">
        <w:rPr>
          <w:rFonts w:ascii="Times New Roman" w:hAnsi="Times New Roman" w:cs="Times New Roman"/>
          <w:sz w:val="24"/>
          <w:szCs w:val="24"/>
        </w:rPr>
        <w:t>United States vs Sioux Nation of Indians</w:t>
      </w:r>
    </w:p>
    <w:p w:rsidR="0085070D" w:rsidRDefault="0085070D" w:rsidP="0085070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5070D" w:rsidRDefault="0085070D" w:rsidP="0085070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5070D" w:rsidRDefault="0085070D" w:rsidP="0085070D">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85070D" w:rsidRDefault="0085070D" w:rsidP="008507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5070D" w:rsidRDefault="0085070D" w:rsidP="0085070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5070D" w:rsidRDefault="0085070D" w:rsidP="0085070D">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BF00FB" w:rsidRDefault="00BF00FB" w:rsidP="00F45355">
      <w:pPr>
        <w:spacing w:line="480" w:lineRule="auto"/>
        <w:rPr>
          <w:rFonts w:ascii="Times New Roman" w:hAnsi="Times New Roman" w:cs="Times New Roman"/>
          <w:sz w:val="24"/>
          <w:szCs w:val="24"/>
        </w:rPr>
      </w:pPr>
    </w:p>
    <w:p w:rsidR="00F45355" w:rsidRPr="00F45355" w:rsidRDefault="00F45355" w:rsidP="006A5201">
      <w:pPr>
        <w:spacing w:line="480" w:lineRule="auto"/>
        <w:ind w:firstLine="720"/>
        <w:rPr>
          <w:rFonts w:ascii="Times New Roman" w:hAnsi="Times New Roman" w:cs="Times New Roman"/>
          <w:sz w:val="24"/>
          <w:szCs w:val="24"/>
        </w:rPr>
      </w:pPr>
      <w:r w:rsidRPr="00F45355">
        <w:rPr>
          <w:rFonts w:ascii="Times New Roman" w:hAnsi="Times New Roman" w:cs="Times New Roman"/>
          <w:sz w:val="24"/>
          <w:szCs w:val="24"/>
        </w:rPr>
        <w:lastRenderedPageBreak/>
        <w:t>There are several policies both federal and state that govern relations between the American government and its tribe.  The government has entered into several treaties with the Native tribes but the processes have had their ups and downs. The law has been quite influential in shaping the life of Indian Americans. Not only has it provided economic and political empowerment for the native groups by organizing them along particular lines but also created closeness with one another.  However, this is not to mean that it hasn't created separation. The modern Indian society is a reflection of the conflicts they have undergone and the appropriation of the constitution of the tribe. This work focuses on the United States vs Sioux Nation of Indians one of the Supreme Court cases in the United States presented in court on 24th March 1980 and the June 30th, 1980 and opinions in the case.</w:t>
      </w:r>
    </w:p>
    <w:p w:rsidR="00F45355" w:rsidRPr="00F45355" w:rsidRDefault="00F45355" w:rsidP="00F45355">
      <w:pPr>
        <w:spacing w:line="480" w:lineRule="auto"/>
        <w:rPr>
          <w:rFonts w:ascii="Times New Roman" w:hAnsi="Times New Roman" w:cs="Times New Roman"/>
          <w:sz w:val="24"/>
          <w:szCs w:val="24"/>
        </w:rPr>
      </w:pPr>
      <w:r w:rsidRPr="00F45355">
        <w:rPr>
          <w:rFonts w:ascii="Times New Roman" w:hAnsi="Times New Roman" w:cs="Times New Roman"/>
          <w:sz w:val="24"/>
          <w:szCs w:val="24"/>
        </w:rPr>
        <w:t xml:space="preserve"> </w:t>
      </w:r>
      <w:r w:rsidR="006A5201">
        <w:rPr>
          <w:rFonts w:ascii="Times New Roman" w:hAnsi="Times New Roman" w:cs="Times New Roman"/>
          <w:sz w:val="24"/>
          <w:szCs w:val="24"/>
        </w:rPr>
        <w:tab/>
      </w:r>
      <w:r w:rsidRPr="00F45355">
        <w:rPr>
          <w:rFonts w:ascii="Times New Roman" w:hAnsi="Times New Roman" w:cs="Times New Roman"/>
          <w:sz w:val="24"/>
          <w:szCs w:val="24"/>
        </w:rPr>
        <w:t>The case involved the American State who had wrested the control of the Black Hills in South Dakota with the Sioux, an Indian nation</w:t>
      </w:r>
      <w:r w:rsidR="003909DF">
        <w:rPr>
          <w:rFonts w:ascii="Times New Roman" w:hAnsi="Times New Roman" w:cs="Times New Roman"/>
          <w:sz w:val="24"/>
          <w:szCs w:val="24"/>
        </w:rPr>
        <w:t xml:space="preserve"> </w:t>
      </w:r>
      <w:r w:rsidR="00102555">
        <w:rPr>
          <w:rFonts w:ascii="Times New Roman" w:hAnsi="Times New Roman" w:cs="Times New Roman"/>
          <w:sz w:val="24"/>
          <w:szCs w:val="24"/>
        </w:rPr>
        <w:t>(Fenelon, 2014)</w:t>
      </w:r>
      <w:r w:rsidRPr="00F45355">
        <w:rPr>
          <w:rFonts w:ascii="Times New Roman" w:hAnsi="Times New Roman" w:cs="Times New Roman"/>
          <w:sz w:val="24"/>
          <w:szCs w:val="24"/>
        </w:rPr>
        <w:t>.  According to the Fifth Amendment, this was "taking" of property and a violation of the act passed by the Congress, the people's power and hence the state was required to compensate the Sioux. The other conflict was based on whether the pursuit of justice and claims by the Sioux nation against the State was a violation of the facets of the separation of powers.</w:t>
      </w:r>
    </w:p>
    <w:p w:rsidR="00F45355" w:rsidRPr="00F45355" w:rsidRDefault="00F45355" w:rsidP="00F45355">
      <w:pPr>
        <w:spacing w:line="480" w:lineRule="auto"/>
        <w:rPr>
          <w:rFonts w:ascii="Times New Roman" w:hAnsi="Times New Roman" w:cs="Times New Roman"/>
          <w:sz w:val="24"/>
          <w:szCs w:val="24"/>
        </w:rPr>
      </w:pPr>
      <w:r w:rsidRPr="00F45355">
        <w:rPr>
          <w:rFonts w:ascii="Times New Roman" w:hAnsi="Times New Roman" w:cs="Times New Roman"/>
          <w:sz w:val="24"/>
          <w:szCs w:val="24"/>
        </w:rPr>
        <w:t xml:space="preserve">  </w:t>
      </w:r>
      <w:r w:rsidR="006A5201">
        <w:rPr>
          <w:rFonts w:ascii="Times New Roman" w:hAnsi="Times New Roman" w:cs="Times New Roman"/>
          <w:sz w:val="24"/>
          <w:szCs w:val="24"/>
        </w:rPr>
        <w:tab/>
      </w:r>
      <w:r w:rsidRPr="00F45355">
        <w:rPr>
          <w:rFonts w:ascii="Times New Roman" w:hAnsi="Times New Roman" w:cs="Times New Roman"/>
          <w:sz w:val="24"/>
          <w:szCs w:val="24"/>
        </w:rPr>
        <w:t>It all started on 26th April in 1886 when the Fort Laramie Treaty was passed. In the Treaty the government agreed with the Sioux that the land around and including the Black Hills would be set aside for what was specified as "absolute and undisturbed use and occupati</w:t>
      </w:r>
      <w:r w:rsidR="00243CD6">
        <w:rPr>
          <w:rFonts w:ascii="Times New Roman" w:hAnsi="Times New Roman" w:cs="Times New Roman"/>
          <w:sz w:val="24"/>
          <w:szCs w:val="24"/>
        </w:rPr>
        <w:t>on " in the treaty with the Sioux( Newton,1992)</w:t>
      </w:r>
      <w:r w:rsidRPr="00F45355">
        <w:rPr>
          <w:rFonts w:ascii="Times New Roman" w:hAnsi="Times New Roman" w:cs="Times New Roman"/>
          <w:sz w:val="24"/>
          <w:szCs w:val="24"/>
        </w:rPr>
        <w:t>. To strengthen the treaty terms, any changes that would be required pertaining to the treaty, it was resolved that they must receive total approval by over three-quarters of the male adults of the said tribe.  The tribe was also allowed to</w:t>
      </w:r>
      <w:r w:rsidR="006A5201">
        <w:rPr>
          <w:rFonts w:ascii="Times New Roman" w:hAnsi="Times New Roman" w:cs="Times New Roman"/>
          <w:sz w:val="24"/>
          <w:szCs w:val="24"/>
        </w:rPr>
        <w:t xml:space="preserve"> hunt in some of the </w:t>
      </w:r>
      <w:r w:rsidRPr="00F45355">
        <w:rPr>
          <w:rFonts w:ascii="Times New Roman" w:hAnsi="Times New Roman" w:cs="Times New Roman"/>
          <w:sz w:val="24"/>
          <w:szCs w:val="24"/>
        </w:rPr>
        <w:t>areas</w:t>
      </w:r>
      <w:r w:rsidR="006A5201">
        <w:rPr>
          <w:rFonts w:ascii="Times New Roman" w:hAnsi="Times New Roman" w:cs="Times New Roman"/>
          <w:sz w:val="24"/>
          <w:szCs w:val="24"/>
        </w:rPr>
        <w:t xml:space="preserve"> that hadn’t been ceded</w:t>
      </w:r>
      <w:r w:rsidRPr="00F45355">
        <w:rPr>
          <w:rFonts w:ascii="Times New Roman" w:hAnsi="Times New Roman" w:cs="Times New Roman"/>
          <w:sz w:val="24"/>
          <w:szCs w:val="24"/>
        </w:rPr>
        <w:t xml:space="preserve">. The treaty also ended the unrest and war along the Powder </w:t>
      </w:r>
      <w:r w:rsidRPr="00F45355">
        <w:rPr>
          <w:rFonts w:ascii="Times New Roman" w:hAnsi="Times New Roman" w:cs="Times New Roman"/>
          <w:sz w:val="24"/>
          <w:szCs w:val="24"/>
        </w:rPr>
        <w:lastRenderedPageBreak/>
        <w:t>River a year after 1866. However, in 1878 a total abrogation of the treaty was enacted by the Congress. Instead of the agreed 75 % of the male adults, the military was used to codify the new statute and forced only 10 %of the male adults to sign the revoke. Under the new statute, the government took over 7 million acres including the reserved Black hills. All this was triggered by rumors about the presence of gold in the reserved area, that were confirmed true in 1874 by an expedition headed by General Custer. The general reported the riches of the land: gold, timber and adequate pasture which brought quest for the land to be distributed for settlement. After a short duration of military protection, President Grant secretly allowed mining in the area by withdrawing the security. He later used this as a scapegoat to grab the land form the Sioux nation after purchase negotiations failed. The army was ordered to attack and evacuate the Sioux from the Black Hills, declared them rebellious, killed majority and held hostage the survivors who were threatened to sign the abrogation treaty under the threat of starvation. They nonetheless didn't comply totally.</w:t>
      </w:r>
    </w:p>
    <w:p w:rsidR="00F45355" w:rsidRPr="00F45355" w:rsidRDefault="00F45355" w:rsidP="00F45355">
      <w:pPr>
        <w:spacing w:line="480" w:lineRule="auto"/>
        <w:rPr>
          <w:rFonts w:ascii="Times New Roman" w:hAnsi="Times New Roman" w:cs="Times New Roman"/>
          <w:sz w:val="24"/>
          <w:szCs w:val="24"/>
        </w:rPr>
      </w:pPr>
      <w:r w:rsidRPr="00F45355">
        <w:rPr>
          <w:rFonts w:ascii="Times New Roman" w:hAnsi="Times New Roman" w:cs="Times New Roman"/>
          <w:sz w:val="24"/>
          <w:szCs w:val="24"/>
        </w:rPr>
        <w:t xml:space="preserve"> Fortunately for the Sioux, the Congress passed a special jurisdiction Act that worked in favor of the Sioux. Before there wasn't any litigation allowing the Sioux to file a suit against the government for the breach. The Sioux placed claims questioning the oppressive measures of the government which according to them was a violation of the Fifth Amendment. Unfortunately, the case was dismissed in 1942 claiming that an act passed in 1920 barred the Sioux from complaining about compensation being a price worth their reserved land. The court reiterated the 1877 and decided that the case was only moral but one without a constitutional basis and uncovered by the Just Compensation Clause. In 1946 the Sioux, with support by the newly enacted Indian Claims commissions placed yet another suit. The commission defended the Sioux and argued that they deserved compensation dismissing the initial court opinion as well as allowing the claim to be taken under res judicata</w:t>
      </w:r>
      <w:r w:rsidR="00966BC0">
        <w:rPr>
          <w:rFonts w:ascii="Times New Roman" w:hAnsi="Times New Roman" w:cs="Times New Roman"/>
          <w:sz w:val="24"/>
          <w:szCs w:val="24"/>
        </w:rPr>
        <w:t xml:space="preserve"> </w:t>
      </w:r>
      <w:r w:rsidR="003909DF">
        <w:rPr>
          <w:rFonts w:ascii="Times New Roman" w:hAnsi="Times New Roman" w:cs="Times New Roman"/>
          <w:sz w:val="24"/>
          <w:szCs w:val="24"/>
        </w:rPr>
        <w:t>(Lurie,1957)</w:t>
      </w:r>
      <w:r w:rsidRPr="00F45355">
        <w:rPr>
          <w:rFonts w:ascii="Times New Roman" w:hAnsi="Times New Roman" w:cs="Times New Roman"/>
          <w:sz w:val="24"/>
          <w:szCs w:val="24"/>
        </w:rPr>
        <w:t xml:space="preserve">. With the influence of the Commission, the Court of Claims ruled in favor of the Sioux according to them a compensation of more than 17.5 million dollars, interest-free. This was to cover for the resources taken away from them as well as the damages incurred due to the brutality of the army.  The court argued that the "seizure' of the Black Hills couldn't as such be termed unconstitutional. In lieu of this, the court denied the Sioux any interest and remained stringent that the claim was disqualified by res judicata following the 1942 court decision. In 1978 the enactment of a Congress Act allowed the court to take in new evidence pertaining to the Sioux claim without putting into consideration the res judicata. The Court investigated the Indian Commission's merits and affirmed them. This was what would be used to decide whether 1877 Acted led to a taking or it was an act that upheld the no compensation law of the Congress in protecting tribal land. The decision was that the act was one meant to exercise power over the Indians and their property. In lieu of this, the court's opinion was the Sioux deserve compensation with interest on the principal amount they had been awarded. </w:t>
      </w:r>
    </w:p>
    <w:p w:rsidR="00F45355" w:rsidRPr="00F45355" w:rsidRDefault="00F45355" w:rsidP="00F45355">
      <w:pPr>
        <w:spacing w:line="480" w:lineRule="auto"/>
        <w:rPr>
          <w:rFonts w:ascii="Times New Roman" w:hAnsi="Times New Roman" w:cs="Times New Roman"/>
          <w:sz w:val="24"/>
          <w:szCs w:val="24"/>
        </w:rPr>
      </w:pPr>
      <w:r w:rsidRPr="00F45355">
        <w:rPr>
          <w:rFonts w:ascii="Times New Roman" w:hAnsi="Times New Roman" w:cs="Times New Roman"/>
          <w:sz w:val="24"/>
          <w:szCs w:val="24"/>
        </w:rPr>
        <w:t>The case presented by the Sioux against the nation had moral, cultural and legal strengths. The constitution of America is aimed to protect the people, their freedom of religion and culture. The Black Hills are sacred, a burial place and a representation of culture amongst the Sioux. Forceful evacuation from this area was a violation of this right. The government breaching a treaty, suing militia, threats and killing its people for materialistic interests makes its morals questionable</w:t>
      </w:r>
      <w:r w:rsidR="007E02A4">
        <w:rPr>
          <w:rFonts w:ascii="Times New Roman" w:hAnsi="Times New Roman" w:cs="Times New Roman"/>
          <w:sz w:val="24"/>
          <w:szCs w:val="24"/>
        </w:rPr>
        <w:t>(Albert, 1994)</w:t>
      </w:r>
      <w:r w:rsidRPr="00F45355">
        <w:rPr>
          <w:rFonts w:ascii="Times New Roman" w:hAnsi="Times New Roman" w:cs="Times New Roman"/>
          <w:sz w:val="24"/>
          <w:szCs w:val="24"/>
        </w:rPr>
        <w:t>. The legal strengths of the case include the fact that the government breached the terms of the treaty in totality, and used force after their negotiations failed. The weaknesses of the case include the argument of the Sioux that the Congress had violated the dictates of the separation of powers. It is ironical that besides the court dismissing the allegation, they still affirmed the evidence by the Indian Commission.</w:t>
      </w:r>
    </w:p>
    <w:p w:rsidR="00AF288A" w:rsidRDefault="00F45355" w:rsidP="00F45355">
      <w:pPr>
        <w:spacing w:line="480" w:lineRule="auto"/>
        <w:rPr>
          <w:rFonts w:ascii="Times New Roman" w:hAnsi="Times New Roman" w:cs="Times New Roman"/>
          <w:sz w:val="24"/>
          <w:szCs w:val="24"/>
        </w:rPr>
      </w:pPr>
      <w:r w:rsidRPr="00F45355">
        <w:rPr>
          <w:rFonts w:ascii="Times New Roman" w:hAnsi="Times New Roman" w:cs="Times New Roman"/>
          <w:sz w:val="24"/>
          <w:szCs w:val="24"/>
        </w:rPr>
        <w:t>The evidence provided by the  Sioux was convincing enough. First, the initial treaty had granted them full ownership of the area around the Black Hills and the government breached. Out of this act, the government proved that they cant act as trustees for the disputed tribal land, exercise plenary powers over the Sioux people. Secondly, from the events that transcended the Congress tried to wear two hats at the same: protection and exercise of sovereign powers.In the process, the Indians suffered. This evidence was adequately supported by the Just Compensation Clause in the Fifth Amendment.</w:t>
      </w: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p>
    <w:p w:rsidR="00102555" w:rsidRDefault="00102555" w:rsidP="00F45355">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102555" w:rsidRPr="00102555" w:rsidRDefault="00102555" w:rsidP="00F45355">
      <w:pPr>
        <w:spacing w:line="480" w:lineRule="auto"/>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Fenelon, J. V. (2014). </w:t>
      </w:r>
      <w:r w:rsidRPr="00102555">
        <w:rPr>
          <w:rFonts w:ascii="Times New Roman" w:hAnsi="Times New Roman" w:cs="Times New Roman"/>
          <w:i/>
          <w:iCs/>
          <w:color w:val="222222"/>
          <w:sz w:val="24"/>
          <w:szCs w:val="24"/>
          <w:shd w:val="clear" w:color="auto" w:fill="FFFFFF"/>
        </w:rPr>
        <w:t>Culturicide, Resistance, and Survival of the Lakota (Sioux Nation):(Sioux Nation)</w:t>
      </w:r>
      <w:r w:rsidRPr="00102555">
        <w:rPr>
          <w:rFonts w:ascii="Times New Roman" w:hAnsi="Times New Roman" w:cs="Times New Roman"/>
          <w:color w:val="222222"/>
          <w:sz w:val="24"/>
          <w:szCs w:val="24"/>
          <w:shd w:val="clear" w:color="auto" w:fill="FFFFFF"/>
        </w:rPr>
        <w:t>. Routledge.</w:t>
      </w:r>
    </w:p>
    <w:p w:rsidR="00102555" w:rsidRPr="00102555" w:rsidRDefault="00102555" w:rsidP="00F45355">
      <w:pPr>
        <w:spacing w:line="480" w:lineRule="auto"/>
        <w:contextualSpacing/>
        <w:rPr>
          <w:rFonts w:ascii="Times New Roman" w:hAnsi="Times New Roman" w:cs="Times New Roman"/>
          <w:sz w:val="24"/>
          <w:szCs w:val="24"/>
        </w:rPr>
      </w:pPr>
      <w:r w:rsidRPr="00102555">
        <w:rPr>
          <w:rFonts w:ascii="Times New Roman" w:hAnsi="Times New Roman" w:cs="Times New Roman"/>
          <w:color w:val="222222"/>
          <w:sz w:val="24"/>
          <w:szCs w:val="24"/>
          <w:shd w:val="clear" w:color="auto" w:fill="FFFFFF"/>
        </w:rPr>
        <w:t>Hurtado, A. L., &amp; Iverson, P. (1994). Major problems in American Indian history. </w:t>
      </w:r>
      <w:r w:rsidRPr="00102555">
        <w:rPr>
          <w:rFonts w:ascii="Times New Roman" w:hAnsi="Times New Roman" w:cs="Times New Roman"/>
          <w:i/>
          <w:iCs/>
          <w:color w:val="222222"/>
          <w:sz w:val="24"/>
          <w:szCs w:val="24"/>
          <w:shd w:val="clear" w:color="auto" w:fill="FFFFFF"/>
        </w:rPr>
        <w:t>Lexington: DC Heath and Co</w:t>
      </w:r>
      <w:r w:rsidRPr="00102555">
        <w:rPr>
          <w:rFonts w:ascii="Times New Roman" w:hAnsi="Times New Roman" w:cs="Times New Roman"/>
          <w:color w:val="222222"/>
          <w:sz w:val="24"/>
          <w:szCs w:val="24"/>
          <w:shd w:val="clear" w:color="auto" w:fill="FFFFFF"/>
        </w:rPr>
        <w:t>.</w:t>
      </w:r>
      <w:r w:rsidRPr="00102555">
        <w:rPr>
          <w:rFonts w:ascii="Times New Roman" w:eastAsia="Times New Roman" w:hAnsi="Times New Roman" w:cs="Times New Roman"/>
          <w:color w:val="000000"/>
          <w:sz w:val="24"/>
          <w:szCs w:val="24"/>
        </w:rPr>
        <w:t xml:space="preserve"> </w:t>
      </w:r>
    </w:p>
    <w:p w:rsidR="00102555" w:rsidRPr="00102555" w:rsidRDefault="00102555" w:rsidP="00F45355">
      <w:pPr>
        <w:spacing w:line="480" w:lineRule="auto"/>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Lurie, N. O. (1957). The Indian Claims Commission Act. </w:t>
      </w:r>
      <w:r w:rsidRPr="00102555">
        <w:rPr>
          <w:rFonts w:ascii="Times New Roman" w:hAnsi="Times New Roman" w:cs="Times New Roman"/>
          <w:i/>
          <w:iCs/>
          <w:color w:val="222222"/>
          <w:sz w:val="24"/>
          <w:szCs w:val="24"/>
          <w:shd w:val="clear" w:color="auto" w:fill="FFFFFF"/>
        </w:rPr>
        <w:t>The Annals of the American Academy of Political and Social Science</w:t>
      </w:r>
      <w:r w:rsidRPr="00102555">
        <w:rPr>
          <w:rFonts w:ascii="Times New Roman" w:hAnsi="Times New Roman" w:cs="Times New Roman"/>
          <w:color w:val="222222"/>
          <w:sz w:val="24"/>
          <w:szCs w:val="24"/>
          <w:shd w:val="clear" w:color="auto" w:fill="FFFFFF"/>
        </w:rPr>
        <w:t>, </w:t>
      </w:r>
      <w:r w:rsidRPr="00102555">
        <w:rPr>
          <w:rFonts w:ascii="Times New Roman" w:hAnsi="Times New Roman" w:cs="Times New Roman"/>
          <w:i/>
          <w:iCs/>
          <w:color w:val="222222"/>
          <w:sz w:val="24"/>
          <w:szCs w:val="24"/>
          <w:shd w:val="clear" w:color="auto" w:fill="FFFFFF"/>
        </w:rPr>
        <w:t>311</w:t>
      </w:r>
      <w:r w:rsidRPr="00102555">
        <w:rPr>
          <w:rFonts w:ascii="Times New Roman" w:hAnsi="Times New Roman" w:cs="Times New Roman"/>
          <w:color w:val="222222"/>
          <w:sz w:val="24"/>
          <w:szCs w:val="24"/>
          <w:shd w:val="clear" w:color="auto" w:fill="FFFFFF"/>
        </w:rPr>
        <w:t>(1), 56-70.</w:t>
      </w:r>
    </w:p>
    <w:p w:rsidR="00102555" w:rsidRPr="00102555" w:rsidRDefault="00102555" w:rsidP="00F45355">
      <w:pPr>
        <w:spacing w:line="480" w:lineRule="auto"/>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Newton, N. J. (1982). The Judicial Role in Fifth Amendment Takings of Indian Land: An Analysis of the Sioux Nation Rule. </w:t>
      </w:r>
      <w:r w:rsidRPr="00102555">
        <w:rPr>
          <w:rFonts w:ascii="Times New Roman" w:hAnsi="Times New Roman" w:cs="Times New Roman"/>
          <w:i/>
          <w:iCs/>
          <w:color w:val="222222"/>
          <w:sz w:val="24"/>
          <w:szCs w:val="24"/>
          <w:shd w:val="clear" w:color="auto" w:fill="FFFFFF"/>
        </w:rPr>
        <w:t>Or. L. Rev.</w:t>
      </w:r>
      <w:r w:rsidRPr="00102555">
        <w:rPr>
          <w:rFonts w:ascii="Times New Roman" w:hAnsi="Times New Roman" w:cs="Times New Roman"/>
          <w:color w:val="222222"/>
          <w:sz w:val="24"/>
          <w:szCs w:val="24"/>
          <w:shd w:val="clear" w:color="auto" w:fill="FFFFFF"/>
        </w:rPr>
        <w:t>, </w:t>
      </w:r>
      <w:r w:rsidRPr="00102555">
        <w:rPr>
          <w:rFonts w:ascii="Times New Roman" w:hAnsi="Times New Roman" w:cs="Times New Roman"/>
          <w:i/>
          <w:iCs/>
          <w:color w:val="222222"/>
          <w:sz w:val="24"/>
          <w:szCs w:val="24"/>
          <w:shd w:val="clear" w:color="auto" w:fill="FFFFFF"/>
        </w:rPr>
        <w:t>61</w:t>
      </w:r>
      <w:r w:rsidRPr="00102555">
        <w:rPr>
          <w:rFonts w:ascii="Times New Roman" w:hAnsi="Times New Roman" w:cs="Times New Roman"/>
          <w:color w:val="222222"/>
          <w:sz w:val="24"/>
          <w:szCs w:val="24"/>
          <w:shd w:val="clear" w:color="auto" w:fill="FFFFFF"/>
        </w:rPr>
        <w:t>, 245.</w:t>
      </w:r>
    </w:p>
    <w:p w:rsidR="00102555" w:rsidRPr="00102555" w:rsidRDefault="00102555" w:rsidP="00F45355">
      <w:pPr>
        <w:spacing w:line="480" w:lineRule="auto"/>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Sutton, Mark Q. </w:t>
      </w:r>
      <w:r w:rsidRPr="00102555">
        <w:rPr>
          <w:rFonts w:ascii="Times New Roman" w:hAnsi="Times New Roman" w:cs="Times New Roman"/>
          <w:i/>
          <w:iCs/>
          <w:color w:val="222222"/>
          <w:sz w:val="24"/>
          <w:szCs w:val="24"/>
          <w:shd w:val="clear" w:color="auto" w:fill="FFFFFF"/>
        </w:rPr>
        <w:t>An introduction to native North America</w:t>
      </w:r>
      <w:r w:rsidRPr="00102555">
        <w:rPr>
          <w:rFonts w:ascii="Times New Roman" w:hAnsi="Times New Roman" w:cs="Times New Roman"/>
          <w:color w:val="222222"/>
          <w:sz w:val="24"/>
          <w:szCs w:val="24"/>
          <w:shd w:val="clear" w:color="auto" w:fill="FFFFFF"/>
        </w:rPr>
        <w:t>. Routledge, 2016.</w:t>
      </w:r>
    </w:p>
    <w:sectPr w:rsidR="00102555" w:rsidRPr="00102555" w:rsidSect="00F453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46E3" w:rsidRDefault="00A346E3" w:rsidP="00F45355">
      <w:pPr>
        <w:spacing w:after="0" w:line="240" w:lineRule="auto"/>
      </w:pPr>
      <w:r>
        <w:separator/>
      </w:r>
    </w:p>
  </w:endnote>
  <w:endnote w:type="continuationSeparator" w:id="0">
    <w:p w:rsidR="00A346E3" w:rsidRDefault="00A346E3" w:rsidP="00F4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46E3" w:rsidRDefault="00A346E3" w:rsidP="00F45355">
      <w:pPr>
        <w:spacing w:after="0" w:line="240" w:lineRule="auto"/>
      </w:pPr>
      <w:r>
        <w:separator/>
      </w:r>
    </w:p>
  </w:footnote>
  <w:footnote w:type="continuationSeparator" w:id="0">
    <w:p w:rsidR="00A346E3" w:rsidRDefault="00A346E3" w:rsidP="00F45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245258"/>
      <w:docPartObj>
        <w:docPartGallery w:val="Page Numbers (Top of Page)"/>
        <w:docPartUnique/>
      </w:docPartObj>
    </w:sdtPr>
    <w:sdtEndPr>
      <w:rPr>
        <w:noProof/>
      </w:rPr>
    </w:sdtEndPr>
    <w:sdtContent>
      <w:p w:rsidR="00F45355" w:rsidRDefault="00F45355">
        <w:pPr>
          <w:pStyle w:val="Header"/>
          <w:jc w:val="right"/>
        </w:pPr>
        <w:r w:rsidRPr="00F45355">
          <w:rPr>
            <w:rFonts w:ascii="Times New Roman" w:hAnsi="Times New Roman" w:cs="Times New Roman"/>
            <w:sz w:val="24"/>
            <w:szCs w:val="24"/>
          </w:rPr>
          <w:t>TRIBAL LAND</w:t>
        </w:r>
        <w:r>
          <w:t xml:space="preserve">                                                                                                                                                         </w:t>
        </w:r>
        <w:r>
          <w:fldChar w:fldCharType="begin"/>
        </w:r>
        <w:r>
          <w:instrText xml:space="preserve"> PAGE   \* MERGEFORMAT </w:instrText>
        </w:r>
        <w:r>
          <w:fldChar w:fldCharType="separate"/>
        </w:r>
        <w:r w:rsidR="006A5201">
          <w:rPr>
            <w:noProof/>
          </w:rPr>
          <w:t>6</w:t>
        </w:r>
        <w:r>
          <w:rPr>
            <w:noProof/>
          </w:rPr>
          <w:fldChar w:fldCharType="end"/>
        </w:r>
      </w:p>
    </w:sdtContent>
  </w:sdt>
  <w:p w:rsidR="00F45355" w:rsidRDefault="00F45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70D" w:rsidRPr="0085070D" w:rsidRDefault="0085070D">
    <w:pPr>
      <w:pStyle w:val="Header"/>
      <w:rPr>
        <w:rFonts w:ascii="Times New Roman" w:hAnsi="Times New Roman" w:cs="Times New Roman"/>
        <w:sz w:val="24"/>
        <w:szCs w:val="24"/>
      </w:rPr>
    </w:pPr>
    <w:r w:rsidRPr="0085070D">
      <w:rPr>
        <w:rFonts w:ascii="Times New Roman" w:hAnsi="Times New Roman" w:cs="Times New Roman"/>
        <w:szCs w:val="24"/>
      </w:rPr>
      <w:t xml:space="preserve">Running </w:t>
    </w:r>
    <w:r w:rsidRPr="0085070D">
      <w:rPr>
        <w:rFonts w:ascii="Times New Roman" w:hAnsi="Times New Roman" w:cs="Times New Roman"/>
        <w:sz w:val="24"/>
        <w:szCs w:val="24"/>
      </w:rPr>
      <w:t>head:</w:t>
    </w:r>
    <w:r>
      <w:rPr>
        <w:rFonts w:ascii="Times New Roman" w:hAnsi="Times New Roman" w:cs="Times New Roman"/>
        <w:sz w:val="24"/>
        <w:szCs w:val="24"/>
      </w:rPr>
      <w:t xml:space="preserve"> THE LAW AND N</w:t>
    </w:r>
    <w:r w:rsidRPr="0085070D">
      <w:rPr>
        <w:rFonts w:ascii="Times New Roman" w:hAnsi="Times New Roman" w:cs="Times New Roman"/>
        <w:sz w:val="24"/>
        <w:szCs w:val="24"/>
      </w:rPr>
      <w:t>A</w:t>
    </w:r>
    <w:r>
      <w:rPr>
        <w:rFonts w:ascii="Times New Roman" w:hAnsi="Times New Roman" w:cs="Times New Roman"/>
        <w:sz w:val="24"/>
        <w:szCs w:val="24"/>
      </w:rPr>
      <w:t>TIVE INDIAN T</w:t>
    </w:r>
    <w:r w:rsidRPr="0085070D">
      <w:rPr>
        <w:rFonts w:ascii="Times New Roman" w:hAnsi="Times New Roman" w:cs="Times New Roman"/>
        <w:sz w:val="24"/>
        <w:szCs w:val="24"/>
      </w:rPr>
      <w:t>RIBES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QxBgJzExMDSwtjMyUdpeDU4uLM/DyQAsNaACEGoYEsAAAA"/>
  </w:docVars>
  <w:rsids>
    <w:rsidRoot w:val="00BD45A5"/>
    <w:rsid w:val="000C58CE"/>
    <w:rsid w:val="000D0DDD"/>
    <w:rsid w:val="000D4DFB"/>
    <w:rsid w:val="00102555"/>
    <w:rsid w:val="001C3523"/>
    <w:rsid w:val="00215779"/>
    <w:rsid w:val="00222094"/>
    <w:rsid w:val="00243CD6"/>
    <w:rsid w:val="003909DF"/>
    <w:rsid w:val="003C68C5"/>
    <w:rsid w:val="00406316"/>
    <w:rsid w:val="00406E8F"/>
    <w:rsid w:val="00407E17"/>
    <w:rsid w:val="00443B39"/>
    <w:rsid w:val="004443D9"/>
    <w:rsid w:val="00642133"/>
    <w:rsid w:val="006A5201"/>
    <w:rsid w:val="007E02A4"/>
    <w:rsid w:val="0085070D"/>
    <w:rsid w:val="00851934"/>
    <w:rsid w:val="00871C9C"/>
    <w:rsid w:val="00925653"/>
    <w:rsid w:val="00966BC0"/>
    <w:rsid w:val="00A346E3"/>
    <w:rsid w:val="00A60B5B"/>
    <w:rsid w:val="00AF288A"/>
    <w:rsid w:val="00B0525F"/>
    <w:rsid w:val="00B2758B"/>
    <w:rsid w:val="00B45292"/>
    <w:rsid w:val="00BA5B50"/>
    <w:rsid w:val="00BB034C"/>
    <w:rsid w:val="00BD45A5"/>
    <w:rsid w:val="00BF00FB"/>
    <w:rsid w:val="00D03659"/>
    <w:rsid w:val="00D269F5"/>
    <w:rsid w:val="00E50077"/>
    <w:rsid w:val="00E77555"/>
    <w:rsid w:val="00F45355"/>
    <w:rsid w:val="00FF6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D3DA0D-5C3C-40DE-9CC8-565E245ED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355"/>
  </w:style>
  <w:style w:type="paragraph" w:styleId="Footer">
    <w:name w:val="footer"/>
    <w:basedOn w:val="Normal"/>
    <w:link w:val="FooterChar"/>
    <w:uiPriority w:val="99"/>
    <w:unhideWhenUsed/>
    <w:rsid w:val="00F45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487194">
      <w:bodyDiv w:val="1"/>
      <w:marLeft w:val="0"/>
      <w:marRight w:val="0"/>
      <w:marTop w:val="0"/>
      <w:marBottom w:val="0"/>
      <w:divBdr>
        <w:top w:val="none" w:sz="0" w:space="0" w:color="auto"/>
        <w:left w:val="none" w:sz="0" w:space="0" w:color="auto"/>
        <w:bottom w:val="none" w:sz="0" w:space="0" w:color="auto"/>
        <w:right w:val="none" w:sz="0" w:space="0" w:color="auto"/>
      </w:divBdr>
    </w:div>
    <w:div w:id="138602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Pavilion</cp:lastModifiedBy>
  <cp:revision>2</cp:revision>
  <dcterms:created xsi:type="dcterms:W3CDTF">2018-12-16T11:30:00Z</dcterms:created>
  <dcterms:modified xsi:type="dcterms:W3CDTF">2018-12-16T11:30:00Z</dcterms:modified>
</cp:coreProperties>
</file>